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3E611196" w:rsidR="00A85E54" w:rsidRPr="000613D3" w:rsidRDefault="00C102AD" w:rsidP="00B56492">
      <w:pPr>
        <w:pStyle w:val="Header"/>
        <w:tabs>
          <w:tab w:val="clear" w:pos="4536"/>
          <w:tab w:val="left" w:pos="1134"/>
        </w:tabs>
        <w:rPr>
          <w:i/>
          <w:lang w:val="de-DE"/>
        </w:rPr>
      </w:pPr>
      <w:r>
        <w:rPr>
          <w:lang w:val="de-DE"/>
        </w:rPr>
        <w:t>3GPP TSG-RAN</w:t>
      </w:r>
      <w:r w:rsidR="0019710B">
        <w:rPr>
          <w:lang w:val="de-DE"/>
        </w:rPr>
        <w:t xml:space="preserve"> WG1 #</w:t>
      </w:r>
      <w:r w:rsidR="008F5768">
        <w:rPr>
          <w:lang w:val="de-DE"/>
        </w:rPr>
        <w:t>89</w:t>
      </w:r>
      <w:r w:rsidR="00A85E54" w:rsidRPr="000613D3">
        <w:rPr>
          <w:lang w:val="de-DE"/>
        </w:rPr>
        <w:tab/>
      </w:r>
      <w:r w:rsidR="00A85E54" w:rsidRPr="002D6B63">
        <w:rPr>
          <w:szCs w:val="20"/>
          <w:lang w:val="de-DE"/>
        </w:rPr>
        <w:t>R1-</w:t>
      </w:r>
      <w:r w:rsidR="002D6B63" w:rsidRPr="002D6B63">
        <w:rPr>
          <w:rFonts w:cs="Arial"/>
          <w:color w:val="000000"/>
          <w:szCs w:val="20"/>
        </w:rPr>
        <w:t>170</w:t>
      </w:r>
      <w:r w:rsidR="002D6B63" w:rsidRPr="002D6B63">
        <w:rPr>
          <w:rFonts w:cs="Arial"/>
          <w:color w:val="000000"/>
          <w:szCs w:val="20"/>
        </w:rPr>
        <w:t>9132</w:t>
      </w:r>
    </w:p>
    <w:p w14:paraId="4A9AC3FA" w14:textId="44DB26A1" w:rsidR="00A85E54" w:rsidRPr="000833FA" w:rsidRDefault="008F5768" w:rsidP="00A85E54">
      <w:pPr>
        <w:pStyle w:val="Header"/>
        <w:rPr>
          <w:color w:val="000000"/>
        </w:rPr>
      </w:pPr>
      <w:r w:rsidRPr="008F5768">
        <w:t>Hangzhou, China</w:t>
      </w:r>
      <w:r w:rsidR="0056282E">
        <w:t xml:space="preserve">, </w:t>
      </w:r>
      <w:r>
        <w:t>May</w:t>
      </w:r>
      <w:r w:rsidR="0056282E">
        <w:t xml:space="preserve"> </w:t>
      </w:r>
      <w:r>
        <w:t>15 – 19</w:t>
      </w:r>
      <w:r w:rsidR="00B56492">
        <w:t>, 2017</w:t>
      </w:r>
    </w:p>
    <w:p w14:paraId="2E5D1813" w14:textId="77777777" w:rsidR="00A85E54" w:rsidRPr="000833FA" w:rsidRDefault="00A85E54" w:rsidP="00A85E54">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C219ABA" w14:textId="09BC4851" w:rsidR="00F75F68" w:rsidRDefault="00FE5799" w:rsidP="00F86630">
      <w:pPr>
        <w:pStyle w:val="Header"/>
        <w:tabs>
          <w:tab w:val="clear" w:pos="4536"/>
          <w:tab w:val="left" w:pos="1800"/>
        </w:tabs>
      </w:pPr>
      <w:r w:rsidRPr="0003368D">
        <w:t>Title:</w:t>
      </w:r>
      <w:bookmarkStart w:id="0" w:name="Title"/>
      <w:bookmarkEnd w:id="0"/>
      <w:r w:rsidRPr="0003368D">
        <w:tab/>
      </w:r>
      <w:r w:rsidR="00C102AD">
        <w:t>Reserved resources supporting NR</w:t>
      </w:r>
      <w:r w:rsidR="00714E75">
        <w:t xml:space="preserve"> co-existence with LTE and NB-IoT</w:t>
      </w:r>
    </w:p>
    <w:p w14:paraId="7344DFB9" w14:textId="3FA17D4D" w:rsidR="00FE5799" w:rsidRPr="00E220C0" w:rsidRDefault="00FE5799" w:rsidP="00F86630">
      <w:pPr>
        <w:pStyle w:val="Header"/>
        <w:tabs>
          <w:tab w:val="clear" w:pos="4536"/>
          <w:tab w:val="left" w:pos="1800"/>
        </w:tabs>
      </w:pPr>
      <w:r w:rsidRPr="00E220C0">
        <w:t>Agenda Item:</w:t>
      </w:r>
      <w:bookmarkStart w:id="1" w:name="Source"/>
      <w:bookmarkEnd w:id="1"/>
      <w:r w:rsidRPr="00E220C0">
        <w:tab/>
      </w:r>
      <w:r w:rsidR="00993D51">
        <w:t>7</w:t>
      </w:r>
      <w:r w:rsidR="000A1245">
        <w:t>.1</w:t>
      </w:r>
      <w:r w:rsidR="00993D51">
        <w:t>.</w:t>
      </w:r>
      <w:r w:rsidR="000A1245">
        <w:t>8</w:t>
      </w:r>
    </w:p>
    <w:p w14:paraId="3447B1EC"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47E83EE0" w:rsidR="0056282E" w:rsidRDefault="001D1BF6" w:rsidP="001C2F6C">
      <w:pPr>
        <w:pStyle w:val="Heading1"/>
        <w:spacing w:before="180"/>
        <w:ind w:left="426" w:hanging="426"/>
      </w:pPr>
      <w:r>
        <w:t>Discussion</w:t>
      </w:r>
    </w:p>
    <w:p w14:paraId="27C2D47A" w14:textId="64E31150" w:rsidR="00402486" w:rsidRDefault="00402486" w:rsidP="00AC6745">
      <w:pPr>
        <w:pStyle w:val="BodyText"/>
      </w:pPr>
      <w:r>
        <w:t>The possibility for efficient same-frequ</w:t>
      </w:r>
      <w:bookmarkStart w:id="3" w:name="_GoBack"/>
      <w:bookmarkEnd w:id="3"/>
      <w:r>
        <w:t>ency-ba</w:t>
      </w:r>
      <w:r w:rsidR="006625AC">
        <w:t>nd co-existence with LTE</w:t>
      </w:r>
      <w:r w:rsidR="0090262B">
        <w:t xml:space="preserve"> as well as with NB-IoT</w:t>
      </w:r>
      <w:r w:rsidR="006625AC">
        <w:t xml:space="preserve"> is an important</w:t>
      </w:r>
      <w:r>
        <w:t xml:space="preserve"> NR requirement</w:t>
      </w:r>
      <w:r w:rsidR="00714E75">
        <w:t>.</w:t>
      </w:r>
      <w:r w:rsidR="00714E75" w:rsidRPr="00714E75">
        <w:t xml:space="preserve"> LTE MTC and NB-IoT devices are expected to remain in the network</w:t>
      </w:r>
      <w:r w:rsidR="0000589B">
        <w:t>s</w:t>
      </w:r>
      <w:r w:rsidR="00714E75" w:rsidRPr="00714E75">
        <w:t xml:space="preserve"> for many years. Efficient coexistence between NR, LTE, and NB-IoT gives rise to flexible network and spectrum migration possibilities toward NR.</w:t>
      </w:r>
    </w:p>
    <w:p w14:paraId="37BC6565" w14:textId="3401F5F9" w:rsidR="00AC6745" w:rsidRDefault="00AC6745" w:rsidP="00AC6745">
      <w:pPr>
        <w:pStyle w:val="BodyText"/>
      </w:pPr>
      <w:r>
        <w:t>LTE</w:t>
      </w:r>
      <w:r w:rsidR="0090262B">
        <w:t>/NB-IoT</w:t>
      </w:r>
      <w:r w:rsidR="00701450">
        <w:t xml:space="preserve"> </w:t>
      </w:r>
      <w:r>
        <w:t xml:space="preserve">co-existence </w:t>
      </w:r>
      <w:r w:rsidR="00701450">
        <w:t>with NR</w:t>
      </w:r>
      <w:r w:rsidR="0090262B">
        <w:t xml:space="preserve"> </w:t>
      </w:r>
      <w:r>
        <w:t>within the</w:t>
      </w:r>
      <w:r w:rsidR="00701450">
        <w:t xml:space="preserve"> same spectrum may be realized</w:t>
      </w:r>
      <w:r>
        <w:t xml:space="preserve"> with LTE</w:t>
      </w:r>
      <w:r w:rsidR="0090262B">
        <w:t>/NB-IoT</w:t>
      </w:r>
      <w:r>
        <w:t xml:space="preserve"> and NR being deployed with frequency-overlapping carriers (“co-carrier</w:t>
      </w:r>
      <w:r w:rsidR="00906583">
        <w:t xml:space="preserve"> co-existence”) as well as frequency-adjacent </w:t>
      </w:r>
      <w:r>
        <w:t xml:space="preserve">non-overlapping carriers (“adjacent-carrier co-existence”). We will here focus on the co-carrier co-existence scenario. </w:t>
      </w:r>
    </w:p>
    <w:p w14:paraId="09AB16E9" w14:textId="787B9BB7" w:rsidR="001D1BF6" w:rsidRDefault="001D1BF6" w:rsidP="001D1BF6">
      <w:pPr>
        <w:pStyle w:val="BodyText"/>
      </w:pPr>
      <w:r>
        <w:t xml:space="preserve">A key thing needed to ensure good </w:t>
      </w:r>
      <w:r w:rsidR="0090262B">
        <w:t xml:space="preserve">co-existence between NR and </w:t>
      </w:r>
      <w:r>
        <w:t>LTE</w:t>
      </w:r>
      <w:r w:rsidR="0090262B">
        <w:t xml:space="preserve">/NB-IoT </w:t>
      </w:r>
      <w:r w:rsidR="00701450">
        <w:t xml:space="preserve">is the possibility for </w:t>
      </w:r>
      <w:r>
        <w:t>NR downlink transmissions to avoid resources used by non-dynamically scheduled LTE</w:t>
      </w:r>
      <w:r w:rsidR="0090262B">
        <w:t>/NB-IoT</w:t>
      </w:r>
      <w:r>
        <w:t xml:space="preserve"> downlink transmission.</w:t>
      </w:r>
      <w:r w:rsidR="009A4A26">
        <w:t xml:space="preserve"> Such transmissions include</w:t>
      </w:r>
      <w:r w:rsidR="0090262B">
        <w:t xml:space="preserve"> at least</w:t>
      </w:r>
    </w:p>
    <w:p w14:paraId="18DCF637" w14:textId="2A45C3E4" w:rsidR="001D1BF6" w:rsidRDefault="00D175B9" w:rsidP="001D1BF6">
      <w:pPr>
        <w:pStyle w:val="BodyText"/>
        <w:numPr>
          <w:ilvl w:val="0"/>
          <w:numId w:val="28"/>
        </w:numPr>
      </w:pPr>
      <w:r>
        <w:t xml:space="preserve">Synchronization signals: </w:t>
      </w:r>
      <w:r w:rsidR="001D1BF6">
        <w:t>PSS/SSS</w:t>
      </w:r>
      <w:r>
        <w:t>, NPSS/NSSS</w:t>
      </w:r>
    </w:p>
    <w:p w14:paraId="54691360" w14:textId="71E5DCAA" w:rsidR="001D1BF6" w:rsidRDefault="00D175B9" w:rsidP="001D1BF6">
      <w:pPr>
        <w:pStyle w:val="BodyText"/>
        <w:numPr>
          <w:ilvl w:val="0"/>
          <w:numId w:val="28"/>
        </w:numPr>
      </w:pPr>
      <w:r>
        <w:t>Channels carrying Master Information Block</w:t>
      </w:r>
      <w:r w:rsidR="00CE3B7C">
        <w:t xml:space="preserve"> (i.e. MIB, MIB-NB)</w:t>
      </w:r>
      <w:r>
        <w:t xml:space="preserve">: </w:t>
      </w:r>
      <w:r w:rsidR="001D1BF6">
        <w:t>PBCH</w:t>
      </w:r>
      <w:r>
        <w:t>, NPBCH</w:t>
      </w:r>
    </w:p>
    <w:p w14:paraId="1A4F484B" w14:textId="68BE127B" w:rsidR="0000076B" w:rsidRDefault="0000076B" w:rsidP="0000076B">
      <w:pPr>
        <w:pStyle w:val="BodyText"/>
        <w:numPr>
          <w:ilvl w:val="0"/>
          <w:numId w:val="28"/>
        </w:numPr>
      </w:pPr>
      <w:r>
        <w:t>Common reference signals: CRS, NRS</w:t>
      </w:r>
    </w:p>
    <w:p w14:paraId="5ED7FA4F" w14:textId="274C417E" w:rsidR="008928BB" w:rsidRDefault="008928BB" w:rsidP="008928BB">
      <w:pPr>
        <w:pStyle w:val="BodyText"/>
        <w:numPr>
          <w:ilvl w:val="0"/>
          <w:numId w:val="28"/>
        </w:numPr>
      </w:pPr>
      <w:r>
        <w:t>Channels carrying downlink control information: PDCCH,</w:t>
      </w:r>
      <w:r w:rsidRPr="00714E75">
        <w:t xml:space="preserve"> PCFICH, PHICH</w:t>
      </w:r>
    </w:p>
    <w:p w14:paraId="7E752330" w14:textId="72B26E36" w:rsidR="00D175B9" w:rsidRDefault="00D175B9" w:rsidP="00D175B9">
      <w:pPr>
        <w:pStyle w:val="BodyText"/>
        <w:numPr>
          <w:ilvl w:val="0"/>
          <w:numId w:val="28"/>
        </w:numPr>
      </w:pPr>
      <w:r>
        <w:t>Channels carrying System Information Block 1</w:t>
      </w:r>
      <w:r w:rsidR="00CE3B7C">
        <w:t xml:space="preserve"> (i.e. SIB1, SIB1-BR, SIB1-NB)</w:t>
      </w:r>
      <w:r>
        <w:t xml:space="preserve">: </w:t>
      </w:r>
      <w:r w:rsidR="00CE3B7C">
        <w:t>PDSCH</w:t>
      </w:r>
      <w:r>
        <w:t>, NP</w:t>
      </w:r>
      <w:r w:rsidR="00CE3B7C">
        <w:t>DSCH</w:t>
      </w:r>
    </w:p>
    <w:p w14:paraId="0A329819" w14:textId="6F86AFC8" w:rsidR="001D1BF6" w:rsidRDefault="0000076B" w:rsidP="0090262B">
      <w:pPr>
        <w:pStyle w:val="BodyText"/>
        <w:numPr>
          <w:ilvl w:val="0"/>
          <w:numId w:val="28"/>
        </w:numPr>
      </w:pPr>
      <w:r>
        <w:t>Other r</w:t>
      </w:r>
      <w:r w:rsidR="00CE3B7C">
        <w:t xml:space="preserve">eference signals: </w:t>
      </w:r>
      <w:r w:rsidR="0090262B">
        <w:t xml:space="preserve">CSI-RS, </w:t>
      </w:r>
      <w:r w:rsidR="00714E75">
        <w:t>PRS, NPRS</w:t>
      </w:r>
    </w:p>
    <w:p w14:paraId="72D568A0" w14:textId="77777777" w:rsidR="00C102AD" w:rsidRDefault="00C102AD" w:rsidP="00C102AD">
      <w:pPr>
        <w:pStyle w:val="Heading1"/>
        <w:tabs>
          <w:tab w:val="clear" w:pos="3544"/>
          <w:tab w:val="left" w:pos="426"/>
        </w:tabs>
        <w:ind w:hanging="3544"/>
      </w:pPr>
      <w:r>
        <w:t>Reserved resources</w:t>
      </w:r>
    </w:p>
    <w:p w14:paraId="1D1F0E9C" w14:textId="21972388" w:rsidR="009A4A26" w:rsidRDefault="001D1BF6" w:rsidP="001D1BF6">
      <w:pPr>
        <w:pStyle w:val="BodyText"/>
      </w:pPr>
      <w:r>
        <w:t>It has already been decided that</w:t>
      </w:r>
      <w:r w:rsidR="004A3F71">
        <w:t xml:space="preserve"> NR should support </w:t>
      </w:r>
      <w:r w:rsidR="004A3F71" w:rsidRPr="004A3F71">
        <w:rPr>
          <w:i/>
        </w:rPr>
        <w:t>reserved resources</w:t>
      </w:r>
      <w:r w:rsidR="004A3F71">
        <w:t xml:space="preserve"> as a tool to enable general forward compatibility. A reserved resource is a set of </w:t>
      </w:r>
      <w:r w:rsidR="00701450">
        <w:t xml:space="preserve">NR </w:t>
      </w:r>
      <w:r w:rsidR="004A3F71">
        <w:t xml:space="preserve">resource elements configured to be non-transmitted, thus being possible to use for transmissions introduced in later releases without breaking backwards compatibility. </w:t>
      </w:r>
      <w:r w:rsidR="009A4A26">
        <w:t xml:space="preserve">Although the exact definition of reserved resources is not defined yet, one straightforward approach is that NR UEs treat resource elements </w:t>
      </w:r>
      <w:r w:rsidR="00701450">
        <w:t>configured</w:t>
      </w:r>
      <w:r w:rsidR="009A4A26">
        <w:t xml:space="preserve"> reserved </w:t>
      </w:r>
      <w:r w:rsidR="004A3F71">
        <w:t xml:space="preserve">resources as punctured, alternatively rate-matched around. </w:t>
      </w:r>
    </w:p>
    <w:p w14:paraId="7D6FEDDE" w14:textId="231F26AD" w:rsidR="009A4A26" w:rsidRDefault="0090262B" w:rsidP="001D1BF6">
      <w:pPr>
        <w:pStyle w:val="BodyText"/>
      </w:pPr>
      <w:r>
        <w:t xml:space="preserve">Most NR resources can </w:t>
      </w:r>
      <w:r w:rsidR="00701450">
        <w:t xml:space="preserve">in principle </w:t>
      </w:r>
      <w:r>
        <w:t xml:space="preserve">be configured as reserve </w:t>
      </w:r>
      <w:r w:rsidR="004A3F71">
        <w:t>reserve</w:t>
      </w:r>
      <w:r w:rsidR="009A4A26">
        <w:t>d</w:t>
      </w:r>
      <w:r w:rsidR="004A3F71">
        <w:t xml:space="preserve"> </w:t>
      </w:r>
      <w:r>
        <w:t>resources. The exception is resources use</w:t>
      </w:r>
      <w:r w:rsidR="00701450">
        <w:t>d for signals that a UE must</w:t>
      </w:r>
      <w:r>
        <w:t xml:space="preserve"> receive before reserved resources can be configured. Assuming that info</w:t>
      </w:r>
      <w:r w:rsidR="00726BEE">
        <w:t>rmation about reserved resources</w:t>
      </w:r>
      <w:r>
        <w:t xml:space="preserve"> can be included as part of the minimum system information, this would mean that all resources are potential reserved resources except the resources used for SSBlock and the minimum system information.  </w:t>
      </w:r>
    </w:p>
    <w:p w14:paraId="6FF716AC" w14:textId="3150C2C6" w:rsidR="009A4A26" w:rsidRDefault="0090262B" w:rsidP="001D1BF6">
      <w:pPr>
        <w:pStyle w:val="BodyText"/>
      </w:pPr>
      <w:r>
        <w:t>In practice, for signaling reasons,</w:t>
      </w:r>
      <w:r w:rsidR="009A4A26">
        <w:t xml:space="preserve"> reserved resources targeting forward compatibility must have a rather </w:t>
      </w:r>
      <w:r>
        <w:t>simpl</w:t>
      </w:r>
      <w:r w:rsidR="0000589B">
        <w:t>e</w:t>
      </w:r>
      <w:r>
        <w:t xml:space="preserve"> and </w:t>
      </w:r>
      <w:r w:rsidR="009A4A26">
        <w:t xml:space="preserve">generic structure. One </w:t>
      </w:r>
      <w:r w:rsidR="00701450">
        <w:t xml:space="preserve">could, for example envision a single </w:t>
      </w:r>
      <w:r w:rsidR="009A4A26">
        <w:t xml:space="preserve">OFDM symbol </w:t>
      </w:r>
      <w:r w:rsidR="00701450">
        <w:t>and/</w:t>
      </w:r>
      <w:r w:rsidR="009A4A26">
        <w:t xml:space="preserve">or a </w:t>
      </w:r>
      <w:r w:rsidR="00A12843">
        <w:t xml:space="preserve">continuous </w:t>
      </w:r>
      <w:r w:rsidR="009A4A26">
        <w:t xml:space="preserve">time/frequency block </w:t>
      </w:r>
      <w:r w:rsidR="00701450">
        <w:t>of a certain size as a fundamental unit for</w:t>
      </w:r>
      <w:r w:rsidR="00C102AD">
        <w:t xml:space="preserve"> </w:t>
      </w:r>
      <w:r w:rsidR="00701450">
        <w:t>a configu</w:t>
      </w:r>
      <w:r w:rsidR="00C102AD">
        <w:t>r</w:t>
      </w:r>
      <w:r w:rsidR="00701450">
        <w:t>ed r</w:t>
      </w:r>
      <w:r w:rsidR="00C102AD">
        <w:t>eserved resource.</w:t>
      </w:r>
    </w:p>
    <w:p w14:paraId="26830896" w14:textId="01A544A0" w:rsidR="00C102AD" w:rsidRDefault="00C102AD" w:rsidP="00C102AD">
      <w:pPr>
        <w:pStyle w:val="Heading1"/>
        <w:tabs>
          <w:tab w:val="clear" w:pos="3544"/>
          <w:tab w:val="num" w:pos="2977"/>
        </w:tabs>
        <w:ind w:left="426" w:hanging="426"/>
      </w:pPr>
      <w:r>
        <w:t>Reserved resources to support co-existence</w:t>
      </w:r>
      <w:r w:rsidR="00726BEE">
        <w:t xml:space="preserve"> with LTE and NB-IoT</w:t>
      </w:r>
    </w:p>
    <w:p w14:paraId="78E37A75" w14:textId="67C32069" w:rsidR="00C102AD" w:rsidRDefault="004A3F71" w:rsidP="001D1BF6">
      <w:pPr>
        <w:pStyle w:val="BodyText"/>
      </w:pPr>
      <w:r>
        <w:t xml:space="preserve">The concept of reserved resources </w:t>
      </w:r>
      <w:r w:rsidR="009A4A26">
        <w:t>can</w:t>
      </w:r>
      <w:r>
        <w:t xml:space="preserve"> also be used </w:t>
      </w:r>
      <w:r w:rsidR="00701450">
        <w:t xml:space="preserve">to support </w:t>
      </w:r>
      <w:r w:rsidR="009A4A26">
        <w:t>NR</w:t>
      </w:r>
      <w:r w:rsidR="0090262B">
        <w:t xml:space="preserve"> </w:t>
      </w:r>
      <w:r w:rsidR="00701450">
        <w:t xml:space="preserve">co-carrier </w:t>
      </w:r>
      <w:r w:rsidR="0090262B">
        <w:t xml:space="preserve">co-existence with </w:t>
      </w:r>
      <w:r w:rsidR="009A4A26">
        <w:t>LTE</w:t>
      </w:r>
      <w:r w:rsidR="00726BEE">
        <w:t xml:space="preserve"> and </w:t>
      </w:r>
      <w:r w:rsidR="0090262B">
        <w:t>NB-IoT</w:t>
      </w:r>
      <w:r w:rsidR="009A4A26">
        <w:t>. Simply speaking, NR resources overlapping with critical LTE</w:t>
      </w:r>
      <w:r w:rsidR="00726BEE">
        <w:t xml:space="preserve"> and </w:t>
      </w:r>
      <w:r w:rsidR="0090262B">
        <w:t>NB-IoT</w:t>
      </w:r>
      <w:r w:rsidR="009A4A26">
        <w:t xml:space="preserve"> transmissions could be configured as reserved resources, thus allowing for blanking such resources without confusing NR UEs</w:t>
      </w:r>
      <w:r>
        <w:t xml:space="preserve">. </w:t>
      </w:r>
    </w:p>
    <w:p w14:paraId="10211BA5" w14:textId="5251613C" w:rsidR="00A12843" w:rsidRDefault="007915B5" w:rsidP="001D1BF6">
      <w:pPr>
        <w:pStyle w:val="BodyText"/>
      </w:pPr>
      <w:r>
        <w:t>In principle this could be achieved by utilizi</w:t>
      </w:r>
      <w:r w:rsidR="00C102AD">
        <w:t>ng generic</w:t>
      </w:r>
      <w:r>
        <w:t xml:space="preserve"> reserved resources. </w:t>
      </w:r>
      <w:r w:rsidR="00A12843">
        <w:t>However, assuming such generic reserved resources have limited flexibility, this may not be the most efficient approach. As an example,</w:t>
      </w:r>
      <w:r w:rsidR="00701450">
        <w:t xml:space="preserve"> in case </w:t>
      </w:r>
      <w:r w:rsidR="00A12843">
        <w:t>generic reserved resources can only be configured on a per-OFDM-symbol basis, avoiding LTE CRS would mean that an entire NR OFDM symbol would have to be reserved even though only a subset of the resource elements wi</w:t>
      </w:r>
      <w:r w:rsidR="0090262B">
        <w:t>t</w:t>
      </w:r>
      <w:r w:rsidR="00701450">
        <w:t>hin that symbol coincides</w:t>
      </w:r>
      <w:r w:rsidR="00A12843">
        <w:t xml:space="preserve"> with LTE CRS. </w:t>
      </w:r>
    </w:p>
    <w:p w14:paraId="533B27A4" w14:textId="6EE480DE" w:rsidR="004A3F71" w:rsidRDefault="007915B5" w:rsidP="001D1BF6">
      <w:pPr>
        <w:pStyle w:val="BodyText"/>
      </w:pPr>
      <w:r>
        <w:lastRenderedPageBreak/>
        <w:t xml:space="preserve">Higher efficiency </w:t>
      </w:r>
      <w:r w:rsidR="00A12843">
        <w:t>could be achieved i</w:t>
      </w:r>
      <w:r>
        <w:t xml:space="preserve">f </w:t>
      </w:r>
      <w:r w:rsidR="00C102AD">
        <w:t xml:space="preserve">it would be possible to configure reserved resources </w:t>
      </w:r>
      <w:r w:rsidR="00A12843">
        <w:t xml:space="preserve">with specific time/frequency structures </w:t>
      </w:r>
      <w:r w:rsidR="00C102AD">
        <w:t xml:space="preserve">matching </w:t>
      </w:r>
      <w:r w:rsidR="00A0740C">
        <w:t>critical LTE</w:t>
      </w:r>
      <w:r w:rsidR="00726BEE">
        <w:t xml:space="preserve"> and </w:t>
      </w:r>
      <w:r w:rsidR="002043AF">
        <w:t>NB-IoT,</w:t>
      </w:r>
      <w:r w:rsidR="00C102AD">
        <w:t xml:space="preserve"> signals. </w:t>
      </w:r>
    </w:p>
    <w:p w14:paraId="25D909C9" w14:textId="31DE39BD" w:rsidR="008843AA" w:rsidRPr="002D6B63" w:rsidRDefault="008843AA" w:rsidP="002D6B63">
      <w:pPr>
        <w:pStyle w:val="BodyText"/>
        <w:ind w:left="1304" w:hanging="1304"/>
        <w:rPr>
          <w:b/>
          <w:lang w:eastAsia="ja-JP"/>
        </w:rPr>
      </w:pPr>
      <w:r w:rsidRPr="0000589B">
        <w:rPr>
          <w:b/>
        </w:rPr>
        <w:t>Proposal</w:t>
      </w:r>
      <w:r w:rsidR="0000589B" w:rsidRPr="0000589B">
        <w:rPr>
          <w:b/>
        </w:rPr>
        <w:t xml:space="preserve"> 1</w:t>
      </w:r>
      <w:r w:rsidRPr="0000589B">
        <w:rPr>
          <w:b/>
        </w:rPr>
        <w:t>:</w:t>
      </w:r>
      <w:r w:rsidRPr="002D6B63">
        <w:rPr>
          <w:b/>
        </w:rPr>
        <w:t xml:space="preserve"> </w:t>
      </w:r>
      <w:r w:rsidR="0000589B">
        <w:rPr>
          <w:b/>
        </w:rPr>
        <w:tab/>
      </w:r>
      <w:r w:rsidRPr="002D6B63">
        <w:rPr>
          <w:b/>
          <w:lang w:eastAsia="ja-JP"/>
        </w:rPr>
        <w:t>To enable efficient NR co-existence</w:t>
      </w:r>
      <w:r w:rsidR="00726BEE" w:rsidRPr="002D6B63">
        <w:rPr>
          <w:b/>
          <w:lang w:eastAsia="ja-JP"/>
        </w:rPr>
        <w:t xml:space="preserve"> with LTE and NB-IoT</w:t>
      </w:r>
      <w:r w:rsidRPr="002D6B63">
        <w:rPr>
          <w:b/>
          <w:lang w:eastAsia="ja-JP"/>
        </w:rPr>
        <w:t>, the N</w:t>
      </w:r>
      <w:r w:rsidR="00701450" w:rsidRPr="002D6B63">
        <w:rPr>
          <w:b/>
          <w:lang w:eastAsia="ja-JP"/>
        </w:rPr>
        <w:t xml:space="preserve">R specification should support </w:t>
      </w:r>
      <w:r w:rsidRPr="002D6B63">
        <w:rPr>
          <w:b/>
          <w:lang w:eastAsia="ja-JP"/>
        </w:rPr>
        <w:t xml:space="preserve">the configuration of reserved resources </w:t>
      </w:r>
      <w:r w:rsidR="00701450" w:rsidRPr="002D6B63">
        <w:rPr>
          <w:b/>
          <w:lang w:eastAsia="ja-JP"/>
        </w:rPr>
        <w:t>with a structure that specifically matches critical</w:t>
      </w:r>
      <w:r w:rsidR="00726BEE" w:rsidRPr="002D6B63">
        <w:rPr>
          <w:b/>
          <w:lang w:eastAsia="ja-JP"/>
        </w:rPr>
        <w:t xml:space="preserve"> LTE and </w:t>
      </w:r>
      <w:r w:rsidRPr="002D6B63">
        <w:rPr>
          <w:b/>
          <w:lang w:eastAsia="ja-JP"/>
        </w:rPr>
        <w:t>NB-IoT downlink signals.</w:t>
      </w:r>
    </w:p>
    <w:p w14:paraId="41BB807A" w14:textId="56E54995" w:rsidR="007876CB" w:rsidRDefault="00270A31" w:rsidP="007876CB">
      <w:pPr>
        <w:pStyle w:val="BodyText"/>
        <w:rPr>
          <w:lang w:eastAsia="ja-JP"/>
        </w:rPr>
      </w:pPr>
      <w:r>
        <w:t xml:space="preserve">We describe </w:t>
      </w:r>
      <w:r w:rsidR="007876CB">
        <w:t>examples of</w:t>
      </w:r>
      <w:r>
        <w:t xml:space="preserve"> configuration signaling </w:t>
      </w:r>
      <w:r w:rsidR="007876CB">
        <w:t xml:space="preserve">that can be used to configure </w:t>
      </w:r>
      <w:r w:rsidR="007876CB">
        <w:rPr>
          <w:lang w:eastAsia="ja-JP"/>
        </w:rPr>
        <w:t xml:space="preserve">reserved resources with a structure that specifically matches critical LTE </w:t>
      </w:r>
      <w:r w:rsidR="00105167">
        <w:rPr>
          <w:lang w:eastAsia="ja-JP"/>
        </w:rPr>
        <w:t>or</w:t>
      </w:r>
      <w:r w:rsidR="007876CB">
        <w:rPr>
          <w:lang w:eastAsia="ja-JP"/>
        </w:rPr>
        <w:t xml:space="preserve"> NB-IoT downlink signals.</w:t>
      </w:r>
    </w:p>
    <w:p w14:paraId="2E0E1CC4" w14:textId="345BC6F6" w:rsidR="008843AA" w:rsidRDefault="008843AA" w:rsidP="001D1BF6">
      <w:pPr>
        <w:pStyle w:val="BodyText"/>
      </w:pPr>
    </w:p>
    <w:p w14:paraId="6C08D53B" w14:textId="32787C32" w:rsidR="00270A31" w:rsidRDefault="00270A31" w:rsidP="00270A31">
      <w:pPr>
        <w:pStyle w:val="Heading2"/>
        <w:rPr>
          <w:lang w:eastAsia="ja-JP"/>
        </w:rPr>
      </w:pPr>
      <w:r>
        <w:t xml:space="preserve">Configuration of reserved resources </w:t>
      </w:r>
      <w:r>
        <w:rPr>
          <w:lang w:eastAsia="ja-JP"/>
        </w:rPr>
        <w:t>with a structure matches to LTE critical downlink signals</w:t>
      </w:r>
    </w:p>
    <w:p w14:paraId="31741C6C" w14:textId="2DBD947D" w:rsidR="007876CB" w:rsidRDefault="007876CB" w:rsidP="007876CB">
      <w:pPr>
        <w:pStyle w:val="BodyText"/>
        <w:rPr>
          <w:lang w:eastAsia="ja-JP"/>
        </w:rPr>
      </w:pPr>
      <w:r>
        <w:rPr>
          <w:lang w:eastAsia="ja-JP"/>
        </w:rPr>
        <w:t>LTE critical downlink signals include</w:t>
      </w:r>
      <w:r w:rsidRPr="007876CB">
        <w:t xml:space="preserve"> </w:t>
      </w:r>
      <w:r>
        <w:rPr>
          <w:lang w:eastAsia="ja-JP"/>
        </w:rPr>
        <w:t>at least</w:t>
      </w:r>
    </w:p>
    <w:p w14:paraId="4E73305A" w14:textId="5B5D3EAF" w:rsidR="007876CB" w:rsidRDefault="007876CB" w:rsidP="007876CB">
      <w:pPr>
        <w:pStyle w:val="BodyText"/>
        <w:numPr>
          <w:ilvl w:val="0"/>
          <w:numId w:val="28"/>
        </w:numPr>
        <w:rPr>
          <w:lang w:eastAsia="ja-JP"/>
        </w:rPr>
      </w:pPr>
      <w:r>
        <w:rPr>
          <w:lang w:eastAsia="ja-JP"/>
        </w:rPr>
        <w:t>Synchronization signals: PSS/SSS</w:t>
      </w:r>
    </w:p>
    <w:p w14:paraId="3412D3B9" w14:textId="264C7280" w:rsidR="007876CB" w:rsidRDefault="007876CB" w:rsidP="007876CB">
      <w:pPr>
        <w:pStyle w:val="BodyText"/>
        <w:numPr>
          <w:ilvl w:val="0"/>
          <w:numId w:val="28"/>
        </w:numPr>
        <w:rPr>
          <w:lang w:eastAsia="ja-JP"/>
        </w:rPr>
      </w:pPr>
      <w:r>
        <w:rPr>
          <w:lang w:eastAsia="ja-JP"/>
        </w:rPr>
        <w:t xml:space="preserve">Channels carrying Master Information </w:t>
      </w:r>
      <w:r w:rsidR="002E539B">
        <w:rPr>
          <w:lang w:eastAsia="ja-JP"/>
        </w:rPr>
        <w:t>Block (i.e. MIB</w:t>
      </w:r>
      <w:r>
        <w:rPr>
          <w:lang w:eastAsia="ja-JP"/>
        </w:rPr>
        <w:t>): PBCH</w:t>
      </w:r>
    </w:p>
    <w:p w14:paraId="5DD164B3" w14:textId="05772E34" w:rsidR="0000076B" w:rsidRDefault="0000076B" w:rsidP="0000076B">
      <w:pPr>
        <w:pStyle w:val="BodyText"/>
        <w:numPr>
          <w:ilvl w:val="0"/>
          <w:numId w:val="28"/>
        </w:numPr>
        <w:rPr>
          <w:lang w:eastAsia="ja-JP"/>
        </w:rPr>
      </w:pPr>
      <w:r>
        <w:rPr>
          <w:lang w:eastAsia="ja-JP"/>
        </w:rPr>
        <w:t>Common Reference Signal: CRS</w:t>
      </w:r>
    </w:p>
    <w:p w14:paraId="32C56033" w14:textId="3F84BB59" w:rsidR="007876CB" w:rsidRDefault="007876CB" w:rsidP="007876CB">
      <w:pPr>
        <w:pStyle w:val="BodyText"/>
        <w:numPr>
          <w:ilvl w:val="0"/>
          <w:numId w:val="28"/>
        </w:numPr>
        <w:rPr>
          <w:lang w:eastAsia="ja-JP"/>
        </w:rPr>
      </w:pPr>
      <w:r>
        <w:rPr>
          <w:lang w:eastAsia="ja-JP"/>
        </w:rPr>
        <w:t>Channels carrying downlink control information: PDCCH, PCFICH, PHICH</w:t>
      </w:r>
    </w:p>
    <w:p w14:paraId="62142996" w14:textId="7DE42C29" w:rsidR="008928BB" w:rsidRDefault="008928BB" w:rsidP="008928BB">
      <w:pPr>
        <w:pStyle w:val="BodyText"/>
        <w:numPr>
          <w:ilvl w:val="0"/>
          <w:numId w:val="28"/>
        </w:numPr>
        <w:rPr>
          <w:lang w:eastAsia="ja-JP"/>
        </w:rPr>
      </w:pPr>
      <w:r>
        <w:rPr>
          <w:lang w:eastAsia="ja-JP"/>
        </w:rPr>
        <w:t>Channels carrying System Information Block 1 (i.e. SIB1, SIB1-BR): PDSCH</w:t>
      </w:r>
    </w:p>
    <w:p w14:paraId="088A98E6" w14:textId="48343AE3" w:rsidR="007876CB" w:rsidRDefault="007876CB" w:rsidP="007876CB">
      <w:pPr>
        <w:pStyle w:val="BodyText"/>
        <w:numPr>
          <w:ilvl w:val="0"/>
          <w:numId w:val="28"/>
        </w:numPr>
        <w:rPr>
          <w:lang w:eastAsia="ja-JP"/>
        </w:rPr>
      </w:pPr>
      <w:r>
        <w:rPr>
          <w:lang w:eastAsia="ja-JP"/>
        </w:rPr>
        <w:t>MBSFN</w:t>
      </w:r>
    </w:p>
    <w:p w14:paraId="16C3E092" w14:textId="3E0046AA" w:rsidR="0000076B" w:rsidRDefault="0000076B" w:rsidP="007876CB">
      <w:pPr>
        <w:pStyle w:val="BodyText"/>
        <w:numPr>
          <w:ilvl w:val="0"/>
          <w:numId w:val="28"/>
        </w:numPr>
        <w:rPr>
          <w:lang w:eastAsia="ja-JP"/>
        </w:rPr>
      </w:pPr>
      <w:r>
        <w:rPr>
          <w:lang w:eastAsia="ja-JP"/>
        </w:rPr>
        <w:t>Other reference signals: CSI-RS, PRS</w:t>
      </w:r>
    </w:p>
    <w:p w14:paraId="722622DB" w14:textId="6A7F150E" w:rsidR="00270A31" w:rsidRDefault="007876CB" w:rsidP="00270A31">
      <w:pPr>
        <w:pStyle w:val="BodyText"/>
        <w:rPr>
          <w:lang w:eastAsia="ja-JP"/>
        </w:rPr>
      </w:pPr>
      <w:r>
        <w:rPr>
          <w:lang w:eastAsia="ja-JP"/>
        </w:rPr>
        <w:t xml:space="preserve">These signals occupy specific resource elements </w:t>
      </w:r>
      <w:r w:rsidR="002E539B">
        <w:rPr>
          <w:lang w:eastAsia="ja-JP"/>
        </w:rPr>
        <w:t xml:space="preserve">that can be specifically located by time and frequency indexing. NR will have its own frequency and time indexing structure, e.g. PRB and subcarrier numbering in the frequency dimension and frame structure (slot, subframe, frame, etc) in the time dimension. </w:t>
      </w:r>
      <w:r w:rsidR="00EF51F2">
        <w:rPr>
          <w:lang w:eastAsia="ja-JP"/>
        </w:rPr>
        <w:t xml:space="preserve">Thus, to be able to help NR UEs locate the reserved resources tailored for LTE, it is necessary to point to the LTE PRBs in the frequency dimension and establish a relationship between a reference point in time in NR and that in LTE. </w:t>
      </w:r>
      <w:r w:rsidR="00803C97">
        <w:rPr>
          <w:lang w:eastAsia="ja-JP"/>
        </w:rPr>
        <w:t>For example, a reference point may be</w:t>
      </w:r>
      <w:r w:rsidR="00EF51F2">
        <w:rPr>
          <w:lang w:eastAsia="ja-JP"/>
        </w:rPr>
        <w:t xml:space="preserve"> the beginning of a </w:t>
      </w:r>
      <w:r w:rsidR="00803C97">
        <w:rPr>
          <w:lang w:eastAsia="ja-JP"/>
        </w:rPr>
        <w:t xml:space="preserve">hyper </w:t>
      </w:r>
      <w:r w:rsidR="00EF51F2">
        <w:rPr>
          <w:lang w:eastAsia="ja-JP"/>
        </w:rPr>
        <w:t>system frame number (</w:t>
      </w:r>
      <w:r w:rsidR="00803C97">
        <w:rPr>
          <w:lang w:eastAsia="ja-JP"/>
        </w:rPr>
        <w:t>H-</w:t>
      </w:r>
      <w:r w:rsidR="00EF51F2">
        <w:rPr>
          <w:lang w:eastAsia="ja-JP"/>
        </w:rPr>
        <w:t>SFN) cycle in both systems. It is convenient that if such reference points share the same periodicity</w:t>
      </w:r>
      <w:r w:rsidR="00803C97">
        <w:rPr>
          <w:lang w:eastAsia="ja-JP"/>
        </w:rPr>
        <w:t xml:space="preserve"> or their periodicities have an integer relationship. An illustration is given in Figure 1, in which a timing offset is signaled to NR UEs to help establish </w:t>
      </w:r>
      <w:r w:rsidR="00803C97" w:rsidRPr="00803C97">
        <w:rPr>
          <w:lang w:eastAsia="ja-JP"/>
        </w:rPr>
        <w:t>the relationship between NR and LTE frame structures</w:t>
      </w:r>
      <w:r w:rsidR="00803C97">
        <w:rPr>
          <w:lang w:eastAsia="ja-JP"/>
        </w:rPr>
        <w:t>.</w:t>
      </w:r>
      <w:r w:rsidR="00012687">
        <w:rPr>
          <w:lang w:eastAsia="ja-JP"/>
        </w:rPr>
        <w:t xml:space="preserve"> Note that if NR </w:t>
      </w:r>
      <w:r w:rsidR="00012687" w:rsidRPr="00012687">
        <w:rPr>
          <w:lang w:eastAsia="ja-JP"/>
        </w:rPr>
        <w:t>deliberately</w:t>
      </w:r>
      <w:r w:rsidR="00012687">
        <w:rPr>
          <w:lang w:eastAsia="ja-JP"/>
        </w:rPr>
        <w:t xml:space="preserve"> time-align, the starting point of H-SFN with that of LTE and if the H-SFN cycles are of the same duration in both systems, it may not be necessary to signal the timing offset to NR UEs.</w:t>
      </w:r>
    </w:p>
    <w:p w14:paraId="12DCC07F" w14:textId="60B9F7BA" w:rsidR="00803C97" w:rsidRDefault="00803C97" w:rsidP="00803C97">
      <w:pPr>
        <w:pStyle w:val="BodyText"/>
        <w:jc w:val="center"/>
      </w:pPr>
      <w:r>
        <w:object w:dxaOrig="8871" w:dyaOrig="5366" w14:anchorId="1385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226.2pt" o:ole="">
            <v:imagedata r:id="rId8" o:title=""/>
          </v:shape>
          <o:OLEObject Type="Embed" ProgID="Visio.Drawing.15" ShapeID="_x0000_i1025" DrawAspect="Content" ObjectID="_1555534375" r:id="rId9"/>
        </w:object>
      </w:r>
    </w:p>
    <w:p w14:paraId="59617203" w14:textId="45F91085" w:rsidR="00803C97" w:rsidRDefault="00803C97" w:rsidP="00803C97">
      <w:pPr>
        <w:pStyle w:val="BodyText"/>
        <w:jc w:val="center"/>
        <w:rPr>
          <w:lang w:eastAsia="ja-JP"/>
        </w:rPr>
      </w:pPr>
      <w:r>
        <w:t>Figure 1: Example of establishing the relationship between NR and LTE frame structures.</w:t>
      </w:r>
    </w:p>
    <w:p w14:paraId="22EFBF30" w14:textId="77777777" w:rsidR="00803C97" w:rsidRPr="00270A31" w:rsidRDefault="00803C97" w:rsidP="00270A31">
      <w:pPr>
        <w:pStyle w:val="BodyText"/>
        <w:rPr>
          <w:lang w:eastAsia="ja-JP"/>
        </w:rPr>
      </w:pPr>
    </w:p>
    <w:p w14:paraId="6453E088" w14:textId="7EED3730" w:rsidR="00726BEE" w:rsidRDefault="00012687" w:rsidP="001D1BF6">
      <w:pPr>
        <w:pStyle w:val="BodyText"/>
      </w:pPr>
      <w:r>
        <w:lastRenderedPageBreak/>
        <w:t>LTE supports normal cyclic prefix (CP) and extended CP, and the locations of OFDM symbols in the time dimension depend on the CP duration. Thus, by establishing the relationship in the frequency and time dimensions and signaling the LTE CP length, a NR UE can locate exactly locate LTE resource elements.</w:t>
      </w:r>
      <w:r w:rsidR="00C77DE0">
        <w:t xml:space="preserve"> As a result, a NR UE can readily locate the reserved resources matched to LTE PSS, SSS, and PBCH.</w:t>
      </w:r>
    </w:p>
    <w:p w14:paraId="6D6B193B" w14:textId="6BDA7516" w:rsidR="00FC628D" w:rsidRDefault="00FC628D" w:rsidP="001D1BF6">
      <w:pPr>
        <w:pStyle w:val="BodyText"/>
      </w:pPr>
      <w:r>
        <w:t xml:space="preserve">The </w:t>
      </w:r>
      <w:r w:rsidR="0055535C">
        <w:t>reserved resources matched</w:t>
      </w:r>
      <w:r>
        <w:t xml:space="preserve"> other critical LTE downlink signals can be located with additional configuration signaling.</w:t>
      </w:r>
    </w:p>
    <w:p w14:paraId="49E0E4F2" w14:textId="62762F01" w:rsidR="00FC628D" w:rsidRDefault="00FC628D" w:rsidP="001D1BF6">
      <w:pPr>
        <w:pStyle w:val="BodyText"/>
      </w:pPr>
      <w:r w:rsidRPr="00FF464A">
        <w:rPr>
          <w:b/>
        </w:rPr>
        <w:t>CRS</w:t>
      </w:r>
      <w:r>
        <w:t xml:space="preserve">: Number of CRS ports and LTE PCID can be provided to locate the resource elements used by LTE CRS. </w:t>
      </w:r>
    </w:p>
    <w:p w14:paraId="7BF11390" w14:textId="02CE2221" w:rsidR="00FC628D" w:rsidRDefault="00FC628D" w:rsidP="00FC628D">
      <w:pPr>
        <w:pStyle w:val="BodyText"/>
        <w:rPr>
          <w:lang w:eastAsia="ja-JP"/>
        </w:rPr>
      </w:pPr>
      <w:r w:rsidRPr="00FF464A">
        <w:rPr>
          <w:b/>
          <w:lang w:eastAsia="ja-JP"/>
        </w:rPr>
        <w:t>PDCCH, PCFICH, PHICH</w:t>
      </w:r>
      <w:r>
        <w:rPr>
          <w:lang w:eastAsia="ja-JP"/>
        </w:rPr>
        <w:t>: This can be located by signaling the number of OFDM symbols used for LTE downlink control region.</w:t>
      </w:r>
    </w:p>
    <w:p w14:paraId="39000396" w14:textId="024CEA91" w:rsidR="00FC628D" w:rsidRDefault="00FC628D" w:rsidP="00FC628D">
      <w:pPr>
        <w:pStyle w:val="BodyText"/>
        <w:rPr>
          <w:lang w:eastAsia="ja-JP"/>
        </w:rPr>
      </w:pPr>
      <w:r w:rsidRPr="00FF464A">
        <w:rPr>
          <w:b/>
          <w:lang w:eastAsia="ja-JP"/>
        </w:rPr>
        <w:t>SIB1, SIB1-BR</w:t>
      </w:r>
      <w:r>
        <w:rPr>
          <w:lang w:eastAsia="ja-JP"/>
        </w:rPr>
        <w:t xml:space="preserve">: </w:t>
      </w:r>
      <w:r w:rsidR="0000589B">
        <w:rPr>
          <w:lang w:eastAsia="ja-JP"/>
        </w:rPr>
        <w:t>T</w:t>
      </w:r>
      <w:r>
        <w:rPr>
          <w:lang w:eastAsia="ja-JP"/>
        </w:rPr>
        <w:t xml:space="preserve">he scheduling information of </w:t>
      </w:r>
      <w:r w:rsidR="00962DEA">
        <w:rPr>
          <w:lang w:eastAsia="ja-JP"/>
        </w:rPr>
        <w:t>SIB1</w:t>
      </w:r>
      <w:r>
        <w:rPr>
          <w:lang w:eastAsia="ja-JP"/>
        </w:rPr>
        <w:t xml:space="preserve"> and SIB1-BR can be provided.</w:t>
      </w:r>
    </w:p>
    <w:p w14:paraId="08E5CACE" w14:textId="44ABB356" w:rsidR="00FC628D" w:rsidRDefault="00FC628D" w:rsidP="00FC628D">
      <w:pPr>
        <w:pStyle w:val="BodyText"/>
        <w:rPr>
          <w:lang w:eastAsia="ja-JP"/>
        </w:rPr>
      </w:pPr>
      <w:r w:rsidRPr="00FF464A">
        <w:rPr>
          <w:b/>
          <w:lang w:eastAsia="ja-JP"/>
        </w:rPr>
        <w:t>MBSFN</w:t>
      </w:r>
      <w:r>
        <w:rPr>
          <w:lang w:eastAsia="ja-JP"/>
        </w:rPr>
        <w:t xml:space="preserve">: </w:t>
      </w:r>
      <w:r w:rsidRPr="00FC628D">
        <w:rPr>
          <w:lang w:eastAsia="ja-JP"/>
        </w:rPr>
        <w:t xml:space="preserve">LTE subframes </w:t>
      </w:r>
      <w:r w:rsidR="00FF464A">
        <w:rPr>
          <w:lang w:eastAsia="ja-JP"/>
        </w:rPr>
        <w:t>#2, #3, #4, #6, #7, or #8</w:t>
      </w:r>
      <w:r w:rsidRPr="00FC628D">
        <w:rPr>
          <w:lang w:eastAsia="ja-JP"/>
        </w:rPr>
        <w:t xml:space="preserve"> may be configured as MBSFN, which has </w:t>
      </w:r>
      <w:r w:rsidR="00FF464A">
        <w:rPr>
          <w:lang w:eastAsia="ja-JP"/>
        </w:rPr>
        <w:t xml:space="preserve">a </w:t>
      </w:r>
      <w:r w:rsidRPr="00FC628D">
        <w:rPr>
          <w:lang w:eastAsia="ja-JP"/>
        </w:rPr>
        <w:t>different slot format compared to non-MBSFN subframes. Information about which LTE subframes can be signaled.</w:t>
      </w:r>
    </w:p>
    <w:p w14:paraId="6AF631B2" w14:textId="495BE482" w:rsidR="00FC628D" w:rsidRDefault="00FF464A" w:rsidP="001D1BF6">
      <w:pPr>
        <w:pStyle w:val="BodyText"/>
      </w:pPr>
      <w:r w:rsidRPr="00FF464A">
        <w:rPr>
          <w:b/>
          <w:lang w:eastAsia="ja-JP"/>
        </w:rPr>
        <w:t>CSI-RS, PRS</w:t>
      </w:r>
      <w:r>
        <w:rPr>
          <w:lang w:eastAsia="ja-JP"/>
        </w:rPr>
        <w:t>: LTE already supports configuration signaling to help an LTE UE configure these additional reference signals. The same configuration signaling can be provided to a NR UE.</w:t>
      </w:r>
    </w:p>
    <w:p w14:paraId="325B737C" w14:textId="3098ED9C" w:rsidR="00105167" w:rsidRDefault="00105167" w:rsidP="00105167">
      <w:pPr>
        <w:pStyle w:val="BodyText"/>
      </w:pPr>
      <w:r>
        <w:t>LTE MTC can designate certain subframes as invalid subframes. When a subframe is designated as an invalid subframe and when only LTE MTC is supported, the invalid subframes can be excluded from the reserved resources as these radio resources are not used by LTE MTC.</w:t>
      </w:r>
    </w:p>
    <w:p w14:paraId="07B7A2D9" w14:textId="77777777" w:rsidR="00FF464A" w:rsidRDefault="00FF464A" w:rsidP="001D1BF6">
      <w:pPr>
        <w:pStyle w:val="BodyText"/>
      </w:pPr>
    </w:p>
    <w:p w14:paraId="69C118B5" w14:textId="6ECC9601" w:rsidR="00FF464A" w:rsidRDefault="00FF464A" w:rsidP="00FF464A">
      <w:pPr>
        <w:pStyle w:val="Heading2"/>
      </w:pPr>
      <w:r>
        <w:t>Configuration of reserved resources with a structure matches to NB-IoT critical downlink signals</w:t>
      </w:r>
    </w:p>
    <w:p w14:paraId="2FDDBC75" w14:textId="7EB9E232" w:rsidR="00FF464A" w:rsidRDefault="00FF464A" w:rsidP="00FF464A">
      <w:pPr>
        <w:pStyle w:val="BodyText"/>
      </w:pPr>
      <w:r>
        <w:t>NB-IoT critical downlink signals include at least</w:t>
      </w:r>
    </w:p>
    <w:p w14:paraId="6893B323" w14:textId="5324A151" w:rsidR="00FF464A" w:rsidRDefault="00FF464A" w:rsidP="00FF464A">
      <w:pPr>
        <w:pStyle w:val="BodyText"/>
      </w:pPr>
      <w:r>
        <w:t>-</w:t>
      </w:r>
      <w:r>
        <w:tab/>
        <w:t>Synchronization signals: NPSS/NSSS</w:t>
      </w:r>
    </w:p>
    <w:p w14:paraId="054C2F5E" w14:textId="50575B42" w:rsidR="00FF464A" w:rsidRDefault="00FF464A" w:rsidP="00FF464A">
      <w:pPr>
        <w:pStyle w:val="BodyText"/>
      </w:pPr>
      <w:r>
        <w:t>-</w:t>
      </w:r>
      <w:r>
        <w:tab/>
        <w:t>Channels carrying Master Information Block (i.e. MIB-NB): NPBCH</w:t>
      </w:r>
    </w:p>
    <w:p w14:paraId="66E0704B" w14:textId="414E6FC8" w:rsidR="00FF464A" w:rsidRDefault="00FF464A" w:rsidP="00FF464A">
      <w:pPr>
        <w:pStyle w:val="BodyText"/>
      </w:pPr>
      <w:r>
        <w:t>-</w:t>
      </w:r>
      <w:r>
        <w:tab/>
        <w:t>Common Reference Signal: NRS</w:t>
      </w:r>
    </w:p>
    <w:p w14:paraId="137DB67D" w14:textId="72AFFF96" w:rsidR="00FF464A" w:rsidRDefault="00FF464A" w:rsidP="00FF464A">
      <w:pPr>
        <w:pStyle w:val="BodyText"/>
      </w:pPr>
      <w:r>
        <w:t>-</w:t>
      </w:r>
      <w:r>
        <w:tab/>
        <w:t>Channels carrying System Information Block 1 (SIB1-NB): NPDSCH</w:t>
      </w:r>
    </w:p>
    <w:p w14:paraId="313F2B21" w14:textId="7A4B4CBB" w:rsidR="00FF464A" w:rsidRDefault="00FF464A" w:rsidP="00FF464A">
      <w:pPr>
        <w:pStyle w:val="BodyText"/>
      </w:pPr>
      <w:r>
        <w:t>-</w:t>
      </w:r>
      <w:r>
        <w:tab/>
        <w:t>Other reference signals: NPRS</w:t>
      </w:r>
    </w:p>
    <w:p w14:paraId="76F4DA7F" w14:textId="35CB9673" w:rsidR="00FF464A" w:rsidRDefault="00FF464A" w:rsidP="001D1BF6">
      <w:pPr>
        <w:pStyle w:val="BodyText"/>
      </w:pPr>
    </w:p>
    <w:p w14:paraId="5E577EA3" w14:textId="47982A86" w:rsidR="00FF464A" w:rsidRDefault="00FF464A" w:rsidP="001D1BF6">
      <w:pPr>
        <w:pStyle w:val="BodyText"/>
      </w:pPr>
      <w:r>
        <w:t xml:space="preserve">A similar approach as that described above for LTE can be used to configure reserved resources tailored for NB-IoT </w:t>
      </w:r>
      <w:r w:rsidRPr="00FF464A">
        <w:t>critical downlink signals</w:t>
      </w:r>
      <w:r>
        <w:t xml:space="preserve">. </w:t>
      </w:r>
    </w:p>
    <w:p w14:paraId="33A42176" w14:textId="5E8F9B14" w:rsidR="00FF464A" w:rsidRDefault="00FF464A" w:rsidP="001D1BF6">
      <w:pPr>
        <w:pStyle w:val="BodyText"/>
      </w:pPr>
      <w:r>
        <w:t>First, signaling is provided to locate the NB-IoT PRB and establish reference point in the NB-IoT frame structure. Once this is established, resources taken by NPSS, NSSS, and NPBCH can be located. Note that NB-IoT only supports normal CP, and thus the information about CP length is not needed.</w:t>
      </w:r>
    </w:p>
    <w:p w14:paraId="26B9007F" w14:textId="2E439E3A" w:rsidR="00962DEA" w:rsidRDefault="00962DEA" w:rsidP="00962DEA">
      <w:pPr>
        <w:pStyle w:val="BodyText"/>
      </w:pPr>
      <w:r>
        <w:t xml:space="preserve">The </w:t>
      </w:r>
      <w:r w:rsidR="00105167">
        <w:t xml:space="preserve">reserved resources matched </w:t>
      </w:r>
      <w:r>
        <w:t>other critical NB-IoT downlink signals can be located with additional configuration signaling.</w:t>
      </w:r>
    </w:p>
    <w:p w14:paraId="2254D0D2" w14:textId="5373CEA3" w:rsidR="00962DEA" w:rsidRDefault="00962DEA" w:rsidP="00962DEA">
      <w:pPr>
        <w:pStyle w:val="BodyText"/>
      </w:pPr>
      <w:r>
        <w:rPr>
          <w:b/>
        </w:rPr>
        <w:t>N</w:t>
      </w:r>
      <w:r w:rsidRPr="00FF464A">
        <w:rPr>
          <w:b/>
        </w:rPr>
        <w:t>RS</w:t>
      </w:r>
      <w:r>
        <w:t xml:space="preserve">: Number of NRS ports and NB-IoT PCID can be provided to locate the resource elements used by NRS. </w:t>
      </w:r>
    </w:p>
    <w:p w14:paraId="4BD8D333" w14:textId="5BCF7ED6" w:rsidR="00962DEA" w:rsidRDefault="00962DEA" w:rsidP="00962DEA">
      <w:pPr>
        <w:pStyle w:val="BodyText"/>
        <w:rPr>
          <w:lang w:eastAsia="ja-JP"/>
        </w:rPr>
      </w:pPr>
      <w:r>
        <w:rPr>
          <w:b/>
          <w:lang w:eastAsia="ja-JP"/>
        </w:rPr>
        <w:t>SIB1-NB</w:t>
      </w:r>
      <w:r>
        <w:rPr>
          <w:lang w:eastAsia="ja-JP"/>
        </w:rPr>
        <w:t xml:space="preserve">: </w:t>
      </w:r>
      <w:r w:rsidR="008431FB">
        <w:rPr>
          <w:lang w:eastAsia="ja-JP"/>
        </w:rPr>
        <w:t xml:space="preserve">The </w:t>
      </w:r>
      <w:r>
        <w:rPr>
          <w:lang w:eastAsia="ja-JP"/>
        </w:rPr>
        <w:t>scheduling information of SIB1-NB can be provided.</w:t>
      </w:r>
      <w:r w:rsidR="00105167">
        <w:rPr>
          <w:lang w:eastAsia="ja-JP"/>
        </w:rPr>
        <w:t xml:space="preserve"> T</w:t>
      </w:r>
      <w:r w:rsidR="00105167" w:rsidRPr="00105167">
        <w:rPr>
          <w:lang w:eastAsia="ja-JP"/>
        </w:rPr>
        <w:t xml:space="preserve">he number of repetitions and </w:t>
      </w:r>
      <w:r w:rsidR="00105167">
        <w:rPr>
          <w:lang w:eastAsia="ja-JP"/>
        </w:rPr>
        <w:t>PC</w:t>
      </w:r>
      <w:r w:rsidR="00105167" w:rsidRPr="00105167">
        <w:rPr>
          <w:lang w:eastAsia="ja-JP"/>
        </w:rPr>
        <w:t>ID are used together to determine which radio frames contain</w:t>
      </w:r>
      <w:r w:rsidR="00105167">
        <w:rPr>
          <w:lang w:eastAsia="ja-JP"/>
        </w:rPr>
        <w:t>ing</w:t>
      </w:r>
      <w:r w:rsidR="00105167" w:rsidRPr="00105167">
        <w:rPr>
          <w:lang w:eastAsia="ja-JP"/>
        </w:rPr>
        <w:t xml:space="preserve"> SIB1-NB transmissions. The radio frames that contain SIB1-NB transmissions use subframe #4 to transmit SIB1-NB.</w:t>
      </w:r>
    </w:p>
    <w:p w14:paraId="0CEBBA4E" w14:textId="2A7525DB" w:rsidR="00962DEA" w:rsidRDefault="00105167" w:rsidP="00962DEA">
      <w:pPr>
        <w:pStyle w:val="BodyText"/>
      </w:pPr>
      <w:r>
        <w:rPr>
          <w:b/>
          <w:lang w:eastAsia="ja-JP"/>
        </w:rPr>
        <w:t>N</w:t>
      </w:r>
      <w:r w:rsidR="00962DEA" w:rsidRPr="00FF464A">
        <w:rPr>
          <w:b/>
          <w:lang w:eastAsia="ja-JP"/>
        </w:rPr>
        <w:t>PRS</w:t>
      </w:r>
      <w:r w:rsidR="00962DEA">
        <w:rPr>
          <w:lang w:eastAsia="ja-JP"/>
        </w:rPr>
        <w:t xml:space="preserve">: </w:t>
      </w:r>
      <w:r>
        <w:rPr>
          <w:lang w:eastAsia="ja-JP"/>
        </w:rPr>
        <w:t>NB-IoT</w:t>
      </w:r>
      <w:r w:rsidR="00962DEA">
        <w:rPr>
          <w:lang w:eastAsia="ja-JP"/>
        </w:rPr>
        <w:t xml:space="preserve"> already supports config</w:t>
      </w:r>
      <w:r>
        <w:rPr>
          <w:lang w:eastAsia="ja-JP"/>
        </w:rPr>
        <w:t>uration signaling to help a NB-IoT</w:t>
      </w:r>
      <w:r w:rsidR="00962DEA">
        <w:rPr>
          <w:lang w:eastAsia="ja-JP"/>
        </w:rPr>
        <w:t xml:space="preserve"> UE configure </w:t>
      </w:r>
      <w:r>
        <w:rPr>
          <w:lang w:eastAsia="ja-JP"/>
        </w:rPr>
        <w:t>NPRS</w:t>
      </w:r>
      <w:r w:rsidR="00962DEA">
        <w:rPr>
          <w:lang w:eastAsia="ja-JP"/>
        </w:rPr>
        <w:t>. The same configuration signaling can be provided to a NR UE.</w:t>
      </w:r>
    </w:p>
    <w:p w14:paraId="6155701F" w14:textId="6400F1CE" w:rsidR="0000076B" w:rsidRDefault="0000076B" w:rsidP="0000076B">
      <w:pPr>
        <w:pStyle w:val="BodyText"/>
      </w:pPr>
      <w:r>
        <w:t>NB-IoT can designate certain subframes as invalid subframes. When a subframe is designated as an invalid subframe, it can be excluded from the reserved resources as these radio resources are not used by NB-IoT.</w:t>
      </w:r>
    </w:p>
    <w:p w14:paraId="1349667F" w14:textId="01EDD6E1" w:rsidR="00105167" w:rsidRDefault="00105167" w:rsidP="0000076B">
      <w:pPr>
        <w:pStyle w:val="BodyText"/>
      </w:pPr>
    </w:p>
    <w:p w14:paraId="107EBBF6" w14:textId="68FD8BD4" w:rsidR="00726BEE" w:rsidRDefault="00726BEE" w:rsidP="001D1BF6">
      <w:pPr>
        <w:pStyle w:val="BodyText"/>
      </w:pPr>
    </w:p>
    <w:p w14:paraId="61EA3E72" w14:textId="726A93F9" w:rsidR="00726BEE" w:rsidRDefault="00726BEE" w:rsidP="001D1BF6">
      <w:pPr>
        <w:pStyle w:val="BodyText"/>
      </w:pPr>
    </w:p>
    <w:p w14:paraId="7DBB9B42" w14:textId="77777777" w:rsidR="00726BEE" w:rsidRDefault="00726BEE" w:rsidP="001D1BF6">
      <w:pPr>
        <w:pStyle w:val="BodyText"/>
      </w:pPr>
    </w:p>
    <w:p w14:paraId="76556769" w14:textId="4CEFB0FA" w:rsidR="008560E2" w:rsidRDefault="00105167" w:rsidP="00BB414C">
      <w:pPr>
        <w:pStyle w:val="Heading1"/>
        <w:tabs>
          <w:tab w:val="clear" w:pos="3544"/>
          <w:tab w:val="num" w:pos="567"/>
        </w:tabs>
        <w:ind w:hanging="3544"/>
      </w:pPr>
      <w:r>
        <w:lastRenderedPageBreak/>
        <w:t>Conclusion</w:t>
      </w:r>
    </w:p>
    <w:p w14:paraId="2E059B4F" w14:textId="1CD41E5F" w:rsidR="00105167" w:rsidRPr="00105167" w:rsidRDefault="00105167" w:rsidP="00726BEE">
      <w:pPr>
        <w:pStyle w:val="BodyText"/>
      </w:pPr>
      <w:r w:rsidRPr="00105167">
        <w:t xml:space="preserve">In this contribution we </w:t>
      </w:r>
      <w:r>
        <w:t xml:space="preserve">propose describe examples of configuration signaling that can be used to configure NR reserved resources with a structure that specifically matches critical LTE or NB-IoT downlink signals. This enables </w:t>
      </w:r>
      <w:r>
        <w:rPr>
          <w:lang w:eastAsia="ja-JP"/>
        </w:rPr>
        <w:t>efficient NR co-existence with LTE and NB-IoT. We make the proposal as follows.</w:t>
      </w:r>
    </w:p>
    <w:p w14:paraId="53933496" w14:textId="05335B6B" w:rsidR="007915B5" w:rsidRDefault="00701450" w:rsidP="002D6B63">
      <w:pPr>
        <w:pStyle w:val="BodyText"/>
        <w:ind w:left="1304" w:hanging="1304"/>
        <w:rPr>
          <w:lang w:eastAsia="ja-JP"/>
        </w:rPr>
      </w:pPr>
      <w:r w:rsidRPr="00F652A1">
        <w:rPr>
          <w:b/>
        </w:rPr>
        <w:t>Proposal:</w:t>
      </w:r>
      <w:r>
        <w:t xml:space="preserve"> </w:t>
      </w:r>
      <w:r w:rsidR="008431FB">
        <w:tab/>
      </w:r>
      <w:r w:rsidR="00726BEE" w:rsidRPr="002D6B63">
        <w:rPr>
          <w:b/>
          <w:lang w:eastAsia="ja-JP"/>
        </w:rPr>
        <w:t>To enable efficient NR co-existence with LTE and NB-IoT, the NR specification should support the configuration of reserved resources with a structure that specifically matches critical LTE and NB-IoT downlink signals.</w:t>
      </w:r>
    </w:p>
    <w:sectPr w:rsidR="007915B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26334" w14:textId="77777777" w:rsidR="00172386" w:rsidRDefault="00172386">
      <w:r>
        <w:separator/>
      </w:r>
    </w:p>
  </w:endnote>
  <w:endnote w:type="continuationSeparator" w:id="0">
    <w:p w14:paraId="6A7431ED" w14:textId="77777777" w:rsidR="00172386" w:rsidRDefault="0017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5C4E7" w14:textId="77777777" w:rsidR="00172386" w:rsidRDefault="00172386">
      <w:r>
        <w:separator/>
      </w:r>
    </w:p>
  </w:footnote>
  <w:footnote w:type="continuationSeparator" w:id="0">
    <w:p w14:paraId="12084692" w14:textId="77777777" w:rsidR="00172386" w:rsidRDefault="0017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172386"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712"/>
    <w:multiLevelType w:val="hybridMultilevel"/>
    <w:tmpl w:val="D6F40CC2"/>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93FF7"/>
    <w:multiLevelType w:val="hybridMultilevel"/>
    <w:tmpl w:val="466C1A78"/>
    <w:lvl w:ilvl="0" w:tplc="3076AB30">
      <w:numFmt w:val="bullet"/>
      <w:lvlText w:val="-"/>
      <w:lvlJc w:val="left"/>
      <w:pPr>
        <w:ind w:left="720" w:hanging="360"/>
      </w:pPr>
      <w:rPr>
        <w:rFonts w:ascii="Times New Roman" w:eastAsia="MS Mincho" w:hAnsi="Times New Roman" w:cs="Times New Roman" w:hint="default"/>
      </w:rPr>
    </w:lvl>
    <w:lvl w:ilvl="1" w:tplc="3076AB30">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CC4D7B"/>
    <w:multiLevelType w:val="hybridMultilevel"/>
    <w:tmpl w:val="54A261F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21B25DB7"/>
    <w:multiLevelType w:val="hybridMultilevel"/>
    <w:tmpl w:val="CC824680"/>
    <w:lvl w:ilvl="0" w:tplc="3076AB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B393C"/>
    <w:multiLevelType w:val="hybridMultilevel"/>
    <w:tmpl w:val="B48A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393A67"/>
    <w:multiLevelType w:val="hybridMultilevel"/>
    <w:tmpl w:val="6B2014D8"/>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6320C8"/>
    <w:multiLevelType w:val="hybridMultilevel"/>
    <w:tmpl w:val="6EE4AC6C"/>
    <w:lvl w:ilvl="0" w:tplc="30BC1B9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8F28FD"/>
    <w:multiLevelType w:val="hybridMultilevel"/>
    <w:tmpl w:val="46629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9A14808"/>
    <w:multiLevelType w:val="hybridMultilevel"/>
    <w:tmpl w:val="C972B12A"/>
    <w:lvl w:ilvl="0" w:tplc="60DAF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C6904"/>
    <w:multiLevelType w:val="hybridMultilevel"/>
    <w:tmpl w:val="0750D498"/>
    <w:lvl w:ilvl="0" w:tplc="2326DA8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3C8213C"/>
    <w:multiLevelType w:val="hybridMultilevel"/>
    <w:tmpl w:val="62E0B7B0"/>
    <w:lvl w:ilvl="0" w:tplc="6B6CA2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12"/>
  </w:num>
  <w:num w:numId="3">
    <w:abstractNumId w:val="6"/>
  </w:num>
  <w:num w:numId="4">
    <w:abstractNumId w:val="15"/>
  </w:num>
  <w:num w:numId="5">
    <w:abstractNumId w:val="9"/>
  </w:num>
  <w:num w:numId="6">
    <w:abstractNumId w:val="4"/>
  </w:num>
  <w:num w:numId="7">
    <w:abstractNumId w:val="23"/>
  </w:num>
  <w:num w:numId="8">
    <w:abstractNumId w:val="26"/>
  </w:num>
  <w:num w:numId="9">
    <w:abstractNumId w:val="26"/>
  </w:num>
  <w:num w:numId="10">
    <w:abstractNumId w:val="24"/>
  </w:num>
  <w:num w:numId="11">
    <w:abstractNumId w:val="26"/>
  </w:num>
  <w:num w:numId="12">
    <w:abstractNumId w:val="22"/>
  </w:num>
  <w:num w:numId="13">
    <w:abstractNumId w:val="3"/>
  </w:num>
  <w:num w:numId="14">
    <w:abstractNumId w:val="5"/>
  </w:num>
  <w:num w:numId="15">
    <w:abstractNumId w:val="16"/>
  </w:num>
  <w:num w:numId="16">
    <w:abstractNumId w:val="2"/>
  </w:num>
  <w:num w:numId="17">
    <w:abstractNumId w:val="11"/>
  </w:num>
  <w:num w:numId="18">
    <w:abstractNumId w:val="18"/>
  </w:num>
  <w:num w:numId="19">
    <w:abstractNumId w:val="8"/>
  </w:num>
  <w:num w:numId="20">
    <w:abstractNumId w:val="10"/>
  </w:num>
  <w:num w:numId="21">
    <w:abstractNumId w:val="1"/>
  </w:num>
  <w:num w:numId="22">
    <w:abstractNumId w:val="13"/>
  </w:num>
  <w:num w:numId="23">
    <w:abstractNumId w:val="0"/>
  </w:num>
  <w:num w:numId="24">
    <w:abstractNumId w:val="25"/>
  </w:num>
  <w:num w:numId="25">
    <w:abstractNumId w:val="21"/>
  </w:num>
  <w:num w:numId="26">
    <w:abstractNumId w:val="14"/>
  </w:num>
  <w:num w:numId="27">
    <w:abstractNumId w:val="17"/>
  </w:num>
  <w:num w:numId="28">
    <w:abstractNumId w:val="20"/>
  </w:num>
  <w:num w:numId="29">
    <w:abstractNumId w:val="19"/>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76B"/>
    <w:rsid w:val="0000589B"/>
    <w:rsid w:val="00012687"/>
    <w:rsid w:val="000217F8"/>
    <w:rsid w:val="00022647"/>
    <w:rsid w:val="00037C51"/>
    <w:rsid w:val="0004251E"/>
    <w:rsid w:val="00043195"/>
    <w:rsid w:val="000613D3"/>
    <w:rsid w:val="000A1245"/>
    <w:rsid w:val="000A258F"/>
    <w:rsid w:val="000A4880"/>
    <w:rsid w:val="000D2A43"/>
    <w:rsid w:val="000E3C85"/>
    <w:rsid w:val="001018DF"/>
    <w:rsid w:val="00105167"/>
    <w:rsid w:val="0010795C"/>
    <w:rsid w:val="00112E18"/>
    <w:rsid w:val="00114B6A"/>
    <w:rsid w:val="00121305"/>
    <w:rsid w:val="00141448"/>
    <w:rsid w:val="001475DE"/>
    <w:rsid w:val="0015130F"/>
    <w:rsid w:val="00164583"/>
    <w:rsid w:val="00172386"/>
    <w:rsid w:val="00175D32"/>
    <w:rsid w:val="00185D0A"/>
    <w:rsid w:val="00191E60"/>
    <w:rsid w:val="0019710B"/>
    <w:rsid w:val="001B0755"/>
    <w:rsid w:val="001B4110"/>
    <w:rsid w:val="001B705B"/>
    <w:rsid w:val="001C2F6C"/>
    <w:rsid w:val="001C5CE9"/>
    <w:rsid w:val="001D1BF6"/>
    <w:rsid w:val="001F3669"/>
    <w:rsid w:val="002043AF"/>
    <w:rsid w:val="0021013F"/>
    <w:rsid w:val="00214784"/>
    <w:rsid w:val="00217942"/>
    <w:rsid w:val="002420F4"/>
    <w:rsid w:val="00260F3F"/>
    <w:rsid w:val="00270A31"/>
    <w:rsid w:val="00290099"/>
    <w:rsid w:val="002A3774"/>
    <w:rsid w:val="002A6EF6"/>
    <w:rsid w:val="002B70E2"/>
    <w:rsid w:val="002D0AB6"/>
    <w:rsid w:val="002D6B63"/>
    <w:rsid w:val="002E1047"/>
    <w:rsid w:val="002E539B"/>
    <w:rsid w:val="002E6A70"/>
    <w:rsid w:val="002F2FBB"/>
    <w:rsid w:val="00304706"/>
    <w:rsid w:val="00310B18"/>
    <w:rsid w:val="00317E78"/>
    <w:rsid w:val="00343A18"/>
    <w:rsid w:val="00350180"/>
    <w:rsid w:val="00354BB2"/>
    <w:rsid w:val="003556F6"/>
    <w:rsid w:val="00356179"/>
    <w:rsid w:val="00361CA8"/>
    <w:rsid w:val="00370039"/>
    <w:rsid w:val="0037486E"/>
    <w:rsid w:val="003875A3"/>
    <w:rsid w:val="003A3E47"/>
    <w:rsid w:val="003A73EF"/>
    <w:rsid w:val="003C6C36"/>
    <w:rsid w:val="003E6703"/>
    <w:rsid w:val="003F0AA7"/>
    <w:rsid w:val="00402486"/>
    <w:rsid w:val="004067C0"/>
    <w:rsid w:val="00407820"/>
    <w:rsid w:val="00407E31"/>
    <w:rsid w:val="004141B9"/>
    <w:rsid w:val="00422F7B"/>
    <w:rsid w:val="004837C7"/>
    <w:rsid w:val="004A3F71"/>
    <w:rsid w:val="004B57FD"/>
    <w:rsid w:val="004B638A"/>
    <w:rsid w:val="004C321E"/>
    <w:rsid w:val="004D0694"/>
    <w:rsid w:val="004E70DB"/>
    <w:rsid w:val="00525831"/>
    <w:rsid w:val="00526719"/>
    <w:rsid w:val="00537B4C"/>
    <w:rsid w:val="0054164C"/>
    <w:rsid w:val="00541E43"/>
    <w:rsid w:val="0055264E"/>
    <w:rsid w:val="0055535C"/>
    <w:rsid w:val="0056282E"/>
    <w:rsid w:val="00563652"/>
    <w:rsid w:val="00570BCE"/>
    <w:rsid w:val="00587AD2"/>
    <w:rsid w:val="00590538"/>
    <w:rsid w:val="00596C3C"/>
    <w:rsid w:val="005B5A6B"/>
    <w:rsid w:val="005C439D"/>
    <w:rsid w:val="005D0CA4"/>
    <w:rsid w:val="005D7107"/>
    <w:rsid w:val="005E49BD"/>
    <w:rsid w:val="005F1EBA"/>
    <w:rsid w:val="0061336B"/>
    <w:rsid w:val="0062673F"/>
    <w:rsid w:val="00655E5F"/>
    <w:rsid w:val="00656ECC"/>
    <w:rsid w:val="006625AC"/>
    <w:rsid w:val="006655B1"/>
    <w:rsid w:val="00665E2A"/>
    <w:rsid w:val="0067157B"/>
    <w:rsid w:val="00686E0A"/>
    <w:rsid w:val="006A08D7"/>
    <w:rsid w:val="006A286A"/>
    <w:rsid w:val="006B271B"/>
    <w:rsid w:val="006E6062"/>
    <w:rsid w:val="006F2CEF"/>
    <w:rsid w:val="00701450"/>
    <w:rsid w:val="00714E75"/>
    <w:rsid w:val="00726BEE"/>
    <w:rsid w:val="007510A3"/>
    <w:rsid w:val="0075384C"/>
    <w:rsid w:val="007569CA"/>
    <w:rsid w:val="007659B5"/>
    <w:rsid w:val="007876CB"/>
    <w:rsid w:val="007915B5"/>
    <w:rsid w:val="007936DA"/>
    <w:rsid w:val="007A01C0"/>
    <w:rsid w:val="007C3BF4"/>
    <w:rsid w:val="007D3353"/>
    <w:rsid w:val="00803C97"/>
    <w:rsid w:val="00815566"/>
    <w:rsid w:val="00834DE7"/>
    <w:rsid w:val="008431FB"/>
    <w:rsid w:val="00853D21"/>
    <w:rsid w:val="00854E84"/>
    <w:rsid w:val="00855236"/>
    <w:rsid w:val="008560E2"/>
    <w:rsid w:val="0087581E"/>
    <w:rsid w:val="008843AA"/>
    <w:rsid w:val="008920DF"/>
    <w:rsid w:val="008928BB"/>
    <w:rsid w:val="008A0B64"/>
    <w:rsid w:val="008B23D4"/>
    <w:rsid w:val="008E31D2"/>
    <w:rsid w:val="008E46BA"/>
    <w:rsid w:val="008F3547"/>
    <w:rsid w:val="008F5768"/>
    <w:rsid w:val="008F77A7"/>
    <w:rsid w:val="0090262B"/>
    <w:rsid w:val="00906583"/>
    <w:rsid w:val="0091288D"/>
    <w:rsid w:val="00920B45"/>
    <w:rsid w:val="009576EC"/>
    <w:rsid w:val="00962DEA"/>
    <w:rsid w:val="0097401A"/>
    <w:rsid w:val="00987DD5"/>
    <w:rsid w:val="0099357D"/>
    <w:rsid w:val="00993D51"/>
    <w:rsid w:val="00997C41"/>
    <w:rsid w:val="009A4A26"/>
    <w:rsid w:val="009A6BB8"/>
    <w:rsid w:val="009B2E48"/>
    <w:rsid w:val="009C60EA"/>
    <w:rsid w:val="009E70EF"/>
    <w:rsid w:val="009F4079"/>
    <w:rsid w:val="00A015E4"/>
    <w:rsid w:val="00A0740C"/>
    <w:rsid w:val="00A12843"/>
    <w:rsid w:val="00A16348"/>
    <w:rsid w:val="00A16AB2"/>
    <w:rsid w:val="00A3059E"/>
    <w:rsid w:val="00A37001"/>
    <w:rsid w:val="00A41E84"/>
    <w:rsid w:val="00A47015"/>
    <w:rsid w:val="00A757B8"/>
    <w:rsid w:val="00A81AA1"/>
    <w:rsid w:val="00A85E54"/>
    <w:rsid w:val="00AA0A42"/>
    <w:rsid w:val="00AA13EF"/>
    <w:rsid w:val="00AA7AE5"/>
    <w:rsid w:val="00AC1363"/>
    <w:rsid w:val="00AC2A5F"/>
    <w:rsid w:val="00AC6745"/>
    <w:rsid w:val="00AD3021"/>
    <w:rsid w:val="00AD6D43"/>
    <w:rsid w:val="00AE3947"/>
    <w:rsid w:val="00B00FDB"/>
    <w:rsid w:val="00B050E8"/>
    <w:rsid w:val="00B32D01"/>
    <w:rsid w:val="00B368D9"/>
    <w:rsid w:val="00B52C5F"/>
    <w:rsid w:val="00B56492"/>
    <w:rsid w:val="00B649CC"/>
    <w:rsid w:val="00B74903"/>
    <w:rsid w:val="00B96E81"/>
    <w:rsid w:val="00BA2CDD"/>
    <w:rsid w:val="00BA3D9B"/>
    <w:rsid w:val="00BA76BC"/>
    <w:rsid w:val="00BB0BC2"/>
    <w:rsid w:val="00BB414C"/>
    <w:rsid w:val="00BF7E13"/>
    <w:rsid w:val="00C03087"/>
    <w:rsid w:val="00C102AD"/>
    <w:rsid w:val="00C1380C"/>
    <w:rsid w:val="00C1560A"/>
    <w:rsid w:val="00C166B7"/>
    <w:rsid w:val="00C326A6"/>
    <w:rsid w:val="00C3476C"/>
    <w:rsid w:val="00C50B3C"/>
    <w:rsid w:val="00C55346"/>
    <w:rsid w:val="00C61496"/>
    <w:rsid w:val="00C77DE0"/>
    <w:rsid w:val="00C83C8A"/>
    <w:rsid w:val="00C84699"/>
    <w:rsid w:val="00C924AF"/>
    <w:rsid w:val="00C93774"/>
    <w:rsid w:val="00CA1143"/>
    <w:rsid w:val="00CA147A"/>
    <w:rsid w:val="00CA6216"/>
    <w:rsid w:val="00CD4414"/>
    <w:rsid w:val="00CE02E7"/>
    <w:rsid w:val="00CE28B2"/>
    <w:rsid w:val="00CE3B7C"/>
    <w:rsid w:val="00CF2225"/>
    <w:rsid w:val="00CF2E8E"/>
    <w:rsid w:val="00CF442A"/>
    <w:rsid w:val="00CF67BE"/>
    <w:rsid w:val="00D02349"/>
    <w:rsid w:val="00D03119"/>
    <w:rsid w:val="00D04257"/>
    <w:rsid w:val="00D11162"/>
    <w:rsid w:val="00D167C9"/>
    <w:rsid w:val="00D175B9"/>
    <w:rsid w:val="00D350E3"/>
    <w:rsid w:val="00D4239B"/>
    <w:rsid w:val="00D516DD"/>
    <w:rsid w:val="00D701A0"/>
    <w:rsid w:val="00D70ABE"/>
    <w:rsid w:val="00DA110D"/>
    <w:rsid w:val="00DB3BC8"/>
    <w:rsid w:val="00DC085D"/>
    <w:rsid w:val="00DC4F90"/>
    <w:rsid w:val="00DD2D9D"/>
    <w:rsid w:val="00DD4245"/>
    <w:rsid w:val="00DE3421"/>
    <w:rsid w:val="00DF334E"/>
    <w:rsid w:val="00E0407B"/>
    <w:rsid w:val="00E10FDC"/>
    <w:rsid w:val="00E14F6B"/>
    <w:rsid w:val="00E220C0"/>
    <w:rsid w:val="00E25EE7"/>
    <w:rsid w:val="00E3598F"/>
    <w:rsid w:val="00E57CED"/>
    <w:rsid w:val="00E61181"/>
    <w:rsid w:val="00E626D3"/>
    <w:rsid w:val="00E63D88"/>
    <w:rsid w:val="00E6536F"/>
    <w:rsid w:val="00E83054"/>
    <w:rsid w:val="00EA148A"/>
    <w:rsid w:val="00EA172F"/>
    <w:rsid w:val="00EA1984"/>
    <w:rsid w:val="00ED3DEE"/>
    <w:rsid w:val="00EF51F2"/>
    <w:rsid w:val="00EF64E2"/>
    <w:rsid w:val="00F21365"/>
    <w:rsid w:val="00F26E7B"/>
    <w:rsid w:val="00F37D49"/>
    <w:rsid w:val="00F55090"/>
    <w:rsid w:val="00F62DBB"/>
    <w:rsid w:val="00F652A1"/>
    <w:rsid w:val="00F75F68"/>
    <w:rsid w:val="00F86630"/>
    <w:rsid w:val="00FA4C4C"/>
    <w:rsid w:val="00FB04C4"/>
    <w:rsid w:val="00FC628D"/>
    <w:rsid w:val="00FD6BED"/>
    <w:rsid w:val="00FE5799"/>
    <w:rsid w:val="00FF464A"/>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D0438-A334-4F88-9F64-B3E23A7D5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Olof Liberg</cp:lastModifiedBy>
  <cp:revision>6</cp:revision>
  <cp:lastPrinted>2017-02-06T17:02:00Z</cp:lastPrinted>
  <dcterms:created xsi:type="dcterms:W3CDTF">2017-05-05T08:38:00Z</dcterms:created>
  <dcterms:modified xsi:type="dcterms:W3CDTF">2017-05-05T22:07:00Z</dcterms:modified>
</cp:coreProperties>
</file>